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– Systémový zesilovač PVA-2P500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Technické údaje pro architekty a techniky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Zesilovač s vysokým výkonem 2 x 500 W třídy D musí splňovat požadavky normy EN54-16 a musí se jednat o certifikované zařízení systému v 19palcové skříni 2 RU. Poskytuje výstupní napětí reproduktorů 70/100 V, které jsou galvanicky odděleny. Zesilovač je permanentně monitorován řídicí jednotkou systému.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Zajištěn je speciální pohotovostní režim, který v souladu s ekonomickými a dohledovými aspekty šetří energii během doby, kdy není zesilovač používán.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Řízení systému a propojení zvuku musí být prováděno prostřednictvím konektorů rozhraní RJ45.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Zesilovač slouží jako systémový zesilovač, ale musí dále umožňovat samostatné použití.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Při použití jako systémový zesilovač jsou k dispozici čtyři automaticky volitelné audiovstupy prostřednictvím rozhraní RJ45. Dále musí být možné použít místní vstup beze ztráty dohledu nad systémem a vedením.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 samostatném režimu je vyžadováno použití místního vstupu.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Konfigurace místního vstupu umožňuje jeho použití jako vstupního zdroje instalovaného systému, například v rámci vstupu veřejného ozvučení nebo místního zdroje.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Zesilovač musí mít následující specifikace: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Max. zatížení zesilovače: 2 x 500 W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Zesilovač třídy D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 vstupy kanálů na konektoru rozhraní RJ45, vstup a výstup rozhraní Amp link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(4kanálové dynamické přepínání vstupních kanálů pro jednotlivé zesilovače)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Místní vstup na zesilovači: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aktivace prostřednictvím softwarové konfigurace nebo automatická volba v případě, že je adresa zesilovače nastavena na adresu „0“,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systémový kanál 4 slouží v případě použití místních vstupů jako dohledový kanál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Průchozí zapojení na konektoru rozhraní RJ45 (4 kanály)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Vestavěný omezovač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Vypínač střídavého napájení na zadní straně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Vstup stejnosměrného napájení 24 V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Větrání ze zadní do přední části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Technické údaje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Technické údaje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Jmenovitá zatěžovací impedance (výstupní výkon)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 Ω (500 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 Ω (500 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Jmenovitý výstupní výkon, 1 kHz, THD ≤ 1 %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 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Jmenovité napájecí napětí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 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Maximální rozkmit efektivního napětí, 1 kHz, THD ≤ 1 %, bez zátěže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Nárůst napětí, ref. 1 kHz, pevné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 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 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 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Maximální zatěžovací kapacita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 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Maximální vstupní úroveň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 dBu (9,75 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Frekvenční odezva, ref. 1 kHz, jmenovitá zátěž,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 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 Hz až 25 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Vstupní impedance, aktivní symetrická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 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Odstup signálu od šumu (váhový filtr A)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 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Výstupní šum (při použití váhového filtru A)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−62 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Přeslech, ref. 1 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−85 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Topologie výstupní fáze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Třída D, transformátor, plovoucí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Požadavky na výkon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Střídavý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 – 240 V (−10/+10 %)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Stejnosměrný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 – 32 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Spotřeba energie, střídavý a stejnosměrný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Viz část „Spotřeba energie“ v provozní příručce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Nárazový proud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 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Nárazový proud, po pěti sekundách cyklu napájení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 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Síťová pojistka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T6,3 A (interní)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Pojistka ss. proudu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 A (interní)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chybné uzemnění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 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Port sběrnice CAN BUS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až 500 kb/s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Ochrana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Omezovač úrovně audiovstupu, omezovač efektivního výstupního výkonu, vysoká teplota, stejnosměrné napájení, zkrat, podpěťová ochrana síťového napájení, podpěťová ochrana stejnosměrného napájení, omezovač nárazového proudu, porucha uzemnění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Chlazení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 tokem z přední strany k zadní, ventilátory řízené termostatem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Provozní teplota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−5 až +45 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Třída bezpečnosti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Třída 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Elektromagnetické prostředí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Rozměry produktu (šířka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výška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hloubka)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19palcová,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 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Čistá hmotnost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 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Přepravní hmotnost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 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V režimu stejnosměrného napájení a během nepřetržité činnosti poplachového signálu je výstupní signál omezen na max. 3 dB.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Snížení výstupního výkonu při poklesu síťového napětí pod 115 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Normy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t>+</w:t>
      </w: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Spotřeba energie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Provoz při 230 V/50 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výstupní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Pohotovostní režim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Klidový stav (žádný zvuk)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Hlášení (−10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Poplach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Provoz při 120 V/60 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výstupní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Pohotovostní režim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Klidový stav (žádný zvuk)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Hlášení (−10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Poplach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 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Provoz při 24V stejnosměrném napájení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napájecí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výstupní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Pohotovostní režim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1,4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Klidový stav (žádný zvuk)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15,6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Hlášení (−10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Poplach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 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Popis sloupců tabulky: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napájecí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efektivní odběr proudu ze sítě (nebo stejnosměrného napájení)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napájecí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zdánlivý výkon odběru ze síťového vedení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napájecí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jalový odběr proudu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ze sítě (nebo stejnosměrného napájení)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výstupní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výstupní výkon NF vedený do reproduktorových linek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ztrátový  </w:t>
      </w:r>
      <w:r>
        <w:rPr>
          <w:color w:val="231F20"/>
          <w:sz w:val="18"/>
          <w:szCs w:val="18"/>
          <w:rFonts w:ascii="Bosch Office Sans" w:hAnsi="Bosch Office Sans" w:cs="Bosch Office Sans"/>
        </w:rPr>
        <w:t>nebo BTU/h = tepelná ztráta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